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47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5562"/>
        <w:gridCol w:w="4385"/>
      </w:tblGrid>
      <w:tr>
        <w:trPr>
          <w:trHeight w:val="2935"/>
        </w:trPr>
        <w:tc>
          <w:tcPr>
            <w:tcW w:w="556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«СОГЛАСОВАНО»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Комитета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физической культуре и спорту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-9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_________________А.А. Хорт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______________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</w:r>
          </w:p>
        </w:tc>
        <w:tc>
          <w:tcPr>
            <w:tcW w:w="4385" w:type="dxa"/>
            <w:textDirection w:val="lrTb"/>
            <w:noWrap w:val="false"/>
          </w:tcPr>
          <w:p>
            <w:r/>
            <w:r/>
          </w:p>
        </w:tc>
      </w:tr>
    </w:tbl>
    <w:p>
      <w:pPr>
        <w:pStyle w:val="741"/>
        <w:jc w:val="both"/>
        <w:tabs>
          <w:tab w:val="left" w:pos="5670" w:leader="none"/>
          <w:tab w:val="left" w:pos="5820" w:leader="none"/>
        </w:tabs>
      </w:pPr>
      <w:r>
        <w:t xml:space="preserve">«</w:t>
      </w:r>
      <w:r>
        <w:t xml:space="preserve">УТВЕРЖДАЮ</w:t>
      </w:r>
      <w:r>
        <w:t xml:space="preserve">»</w:t>
      </w:r>
      <w:r>
        <w:t xml:space="preserve">   </w:t>
      </w:r>
      <w:r>
        <w:t xml:space="preserve">                                                             </w:t>
      </w:r>
      <w:r>
        <w:t xml:space="preserve">«</w:t>
      </w:r>
      <w:r>
        <w:t xml:space="preserve">УТВЕРЖДАЮ</w:t>
      </w:r>
      <w:r>
        <w:t xml:space="preserve">»</w:t>
      </w:r>
      <w:r/>
    </w:p>
    <w:p>
      <w:pPr>
        <w:pStyle w:val="741"/>
        <w:jc w:val="both"/>
        <w:tabs>
          <w:tab w:val="left" w:pos="5820" w:leader="none"/>
        </w:tabs>
      </w:pPr>
      <w:r/>
      <w:r/>
    </w:p>
    <w:p>
      <w:pPr>
        <w:pStyle w:val="741"/>
        <w:jc w:val="both"/>
        <w:tabs>
          <w:tab w:val="left" w:pos="5820" w:leader="none"/>
        </w:tabs>
      </w:pPr>
      <w:r>
        <w:t xml:space="preserve">Заместитель директора</w:t>
      </w:r>
      <w:r>
        <w:t xml:space="preserve">                                                      Исполнительный директор</w:t>
      </w:r>
      <w:r/>
    </w:p>
    <w:p>
      <w:pPr>
        <w:pStyle w:val="741"/>
        <w:jc w:val="both"/>
        <w:tabs>
          <w:tab w:val="left" w:pos="5820" w:leader="none"/>
        </w:tabs>
      </w:pPr>
      <w:r>
        <w:t xml:space="preserve">по организации и проведению</w:t>
      </w:r>
      <w:r>
        <w:t xml:space="preserve">                                          Ассоциации содействия</w:t>
      </w:r>
      <w:r/>
    </w:p>
    <w:p>
      <w:pPr>
        <w:pStyle w:val="741"/>
        <w:jc w:val="both"/>
        <w:tabs>
          <w:tab w:val="left" w:pos="5820" w:leader="none"/>
        </w:tabs>
      </w:pPr>
      <w:r>
        <w:t xml:space="preserve">спортивных и физкультурных</w:t>
      </w:r>
      <w:r>
        <w:t xml:space="preserve">                                           развитию школьного водного</w:t>
      </w:r>
      <w:r/>
    </w:p>
    <w:p>
      <w:pPr>
        <w:pStyle w:val="741"/>
        <w:jc w:val="both"/>
        <w:tabs>
          <w:tab w:val="left" w:pos="5820" w:leader="none"/>
        </w:tabs>
      </w:pPr>
      <w:r>
        <w:t xml:space="preserve">меро</w:t>
      </w:r>
      <w:r>
        <w:t xml:space="preserve">приятий Санкт-Петербургского   </w:t>
      </w:r>
      <w:r>
        <w:t xml:space="preserve">                             спорта «ШЛЛ ВВС СПб»</w:t>
      </w:r>
      <w:r/>
    </w:p>
    <w:p>
      <w:pPr>
        <w:pStyle w:val="741"/>
        <w:jc w:val="both"/>
        <w:tabs>
          <w:tab w:val="left" w:pos="5820" w:leader="none"/>
        </w:tabs>
      </w:pPr>
      <w:r>
        <w:t xml:space="preserve">государс</w:t>
      </w:r>
      <w:r>
        <w:t xml:space="preserve">твенного автономного</w:t>
      </w:r>
      <w:r/>
    </w:p>
    <w:p>
      <w:pPr>
        <w:pStyle w:val="741"/>
        <w:jc w:val="both"/>
        <w:tabs>
          <w:tab w:val="left" w:pos="5820" w:leader="none"/>
        </w:tabs>
      </w:pPr>
      <w:r>
        <w:t xml:space="preserve">учрежд</w:t>
      </w:r>
      <w:r>
        <w:t xml:space="preserve">ения «Центр подготовки</w:t>
      </w:r>
      <w:r/>
    </w:p>
    <w:p>
      <w:pPr>
        <w:pStyle w:val="741"/>
        <w:jc w:val="both"/>
        <w:tabs>
          <w:tab w:val="left" w:pos="5820" w:leader="none"/>
        </w:tabs>
      </w:pPr>
      <w:r>
        <w:t xml:space="preserve">спортивных </w:t>
      </w:r>
      <w:r>
        <w:t xml:space="preserve">сбор</w:t>
      </w:r>
      <w:r>
        <w:t xml:space="preserve">ных команд</w:t>
      </w:r>
      <w:r/>
    </w:p>
    <w:p>
      <w:pPr>
        <w:pStyle w:val="741"/>
        <w:jc w:val="both"/>
      </w:pPr>
      <w:r>
        <w:t xml:space="preserve">Санкт-Петербурга»</w:t>
      </w:r>
      <w:r/>
    </w:p>
    <w:p>
      <w:pPr>
        <w:pStyle w:val="741"/>
        <w:jc w:val="both"/>
      </w:pPr>
      <w:r/>
      <w:r/>
    </w:p>
    <w:p>
      <w:pPr>
        <w:pStyle w:val="741"/>
        <w:jc w:val="both"/>
        <w:tabs>
          <w:tab w:val="left" w:pos="2552" w:leader="none"/>
          <w:tab w:val="left" w:pos="5730" w:leader="none"/>
        </w:tabs>
      </w:pPr>
      <w:r>
        <w:t xml:space="preserve">______________ </w:t>
      </w:r>
      <w:r>
        <w:t xml:space="preserve">Д.И. Павлов</w:t>
      </w:r>
      <w:r>
        <w:tab/>
        <w:t xml:space="preserve">____________</w:t>
      </w:r>
      <w:r>
        <w:t xml:space="preserve">____  </w:t>
      </w:r>
      <w:r>
        <w:t xml:space="preserve"> М.В. Осинцева</w:t>
      </w:r>
      <w:r/>
    </w:p>
    <w:p>
      <w:pPr>
        <w:ind w:right="-143"/>
        <w:jc w:val="both"/>
        <w:tabs>
          <w:tab w:val="left" w:pos="5730" w:leader="none"/>
          <w:tab w:val="left" w:pos="765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«___» ______________ 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  <w:t xml:space="preserve">«_</w:t>
      </w:r>
      <w:r>
        <w:rPr>
          <w:sz w:val="24"/>
          <w:szCs w:val="24"/>
        </w:rPr>
        <w:t xml:space="preserve">_»_</w:t>
      </w:r>
      <w:r>
        <w:rPr>
          <w:sz w:val="24"/>
          <w:szCs w:val="24"/>
        </w:rPr>
        <w:t xml:space="preserve">________</w:t>
      </w:r>
      <w:r>
        <w:rPr>
          <w:sz w:val="24"/>
          <w:szCs w:val="24"/>
        </w:rPr>
        <w:t xml:space="preserve">____________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</w:t>
      </w:r>
      <w:r>
        <w:rPr>
          <w:b/>
          <w:sz w:val="24"/>
          <w:szCs w:val="24"/>
        </w:rPr>
      </w:r>
    </w:p>
    <w:p>
      <w:pPr>
        <w:jc w:val="center"/>
        <w:widowControl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ТУРНИР</w:t>
      </w:r>
      <w:r>
        <w:rPr>
          <w:b/>
          <w:bCs/>
          <w:sz w:val="24"/>
          <w:szCs w:val="24"/>
        </w:rPr>
        <w:t xml:space="preserve">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ПО ВОДНОМУ ПОЛО </w:t>
      </w:r>
      <w:r>
        <w:rPr>
          <w:b/>
          <w:bCs/>
          <w:sz w:val="24"/>
          <w:szCs w:val="24"/>
        </w:rPr>
        <w:t xml:space="preserve">«АЛЕКСАНДР НЕВСКИЙ»</w:t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Санкт-Петербург</w:t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</w:t>
      </w:r>
      <w:r>
        <w:rPr>
          <w:b/>
          <w:bCs/>
          <w:sz w:val="24"/>
          <w:szCs w:val="24"/>
        </w:rPr>
        <w:t xml:space="preserve">4</w:t>
      </w:r>
      <w:r>
        <w:rPr>
          <w:b/>
          <w:bCs/>
          <w:sz w:val="24"/>
          <w:szCs w:val="24"/>
        </w:rPr>
        <w:t xml:space="preserve"> г.</w:t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numPr>
          <w:ilvl w:val="0"/>
          <w:numId w:val="4"/>
        </w:numPr>
        <w:ind w:left="0" w:firstLine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Общие положения</w:t>
      </w:r>
      <w:r>
        <w:rPr>
          <w:bCs/>
          <w:sz w:val="24"/>
          <w:szCs w:val="24"/>
        </w:rPr>
      </w:r>
    </w:p>
    <w:p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741"/>
        <w:ind w:firstLine="567"/>
        <w:jc w:val="both"/>
      </w:pPr>
      <w:r>
        <w:t xml:space="preserve">Т</w:t>
      </w:r>
      <w:r>
        <w:t xml:space="preserve">урнир </w:t>
      </w:r>
      <w:r>
        <w:t xml:space="preserve">по водном</w:t>
      </w:r>
      <w:r>
        <w:t xml:space="preserve">у поло</w:t>
      </w:r>
      <w:r>
        <w:t xml:space="preserve"> ко Дню защитника Отечества</w:t>
      </w:r>
      <w:r>
        <w:t xml:space="preserve"> </w:t>
      </w:r>
      <w:r>
        <w:t xml:space="preserve">(</w:t>
      </w:r>
      <w:r>
        <w:rPr>
          <w:i/>
        </w:rPr>
        <w:t xml:space="preserve">далее</w:t>
      </w:r>
      <w:r>
        <w:rPr>
          <w:i/>
        </w:rPr>
        <w:t xml:space="preserve"> </w:t>
      </w:r>
      <w:r>
        <w:rPr>
          <w:i/>
        </w:rPr>
        <w:t xml:space="preserve">–</w:t>
      </w:r>
      <w:r>
        <w:rPr>
          <w:i/>
        </w:rPr>
        <w:t xml:space="preserve"> </w:t>
      </w:r>
      <w:r>
        <w:rPr>
          <w:i/>
        </w:rPr>
        <w:t xml:space="preserve">Мероприятие</w:t>
      </w:r>
      <w:r>
        <w:rPr>
          <w:i/>
        </w:rPr>
        <w:t xml:space="preserve">)</w:t>
      </w:r>
      <w:r>
        <w:t xml:space="preserve"> проводи</w:t>
      </w:r>
      <w:r>
        <w:t xml:space="preserve">тся </w:t>
      </w:r>
      <w:r>
        <w:t xml:space="preserve">в </w:t>
      </w:r>
      <w:r>
        <w:t xml:space="preserve">соответствии с </w:t>
      </w:r>
      <w:r>
        <w:t xml:space="preserve">Календарным п</w:t>
      </w:r>
      <w:r>
        <w:t xml:space="preserve">ланом официальных физкультурных мероприятий и спортивных мер</w:t>
      </w:r>
      <w:r>
        <w:t xml:space="preserve">о</w:t>
      </w:r>
      <w:r>
        <w:t xml:space="preserve">приятий Санкт-Петербурга на 202</w:t>
      </w:r>
      <w:r>
        <w:t xml:space="preserve">4</w:t>
      </w:r>
      <w:r>
        <w:t xml:space="preserve"> год</w:t>
      </w:r>
      <w:r>
        <w:t xml:space="preserve"> (раздел: Физкультурные мероприятия среди детей и учащейся молодежи)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Турнир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тся в соответствии с правилами вида спорта «водное поло», утвержденными приказом Министерства спорта Российской Федерации от 27 декабря 2018 года № 1094, с изменениями, внесенными приказом Минспорта России от 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 августа 2020 года № 60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</w:t>
      </w:r>
      <w:r>
        <w:rPr>
          <w:b/>
          <w:sz w:val="24"/>
          <w:szCs w:val="24"/>
        </w:rPr>
        <w:t xml:space="preserve">Мероприятия: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пропаганда здорового образа жизни среди школьников, содействие гармоничному развитию личности, укрепление здоровья подрастающего поколения;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массовое привлечение школьников к регулярным занятиям физической культурой </w:t>
      </w:r>
      <w:r>
        <w:rPr>
          <w:sz w:val="24"/>
          <w:szCs w:val="24"/>
        </w:rPr>
        <w:br/>
        <w:t xml:space="preserve">и спортом, а в частности водным поло и мини водным поло;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профилактика всех форм зави</w:t>
      </w:r>
      <w:r>
        <w:rPr>
          <w:sz w:val="24"/>
          <w:szCs w:val="24"/>
        </w:rPr>
        <w:t xml:space="preserve">симостей среди детей и подростков</w:t>
      </w:r>
      <w:r>
        <w:rPr>
          <w:sz w:val="24"/>
          <w:szCs w:val="24"/>
        </w:rPr>
        <w:t xml:space="preserve"> средствами физической культуры;</w:t>
      </w:r>
      <w:r>
        <w:rPr>
          <w:sz w:val="24"/>
          <w:szCs w:val="24"/>
        </w:rPr>
      </w:r>
    </w:p>
    <w:p>
      <w:pPr>
        <w:jc w:val="both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ab/>
        <w:t xml:space="preserve">- повышение спортивного мастерства игроков и команд;</w:t>
      </w:r>
      <w:r>
        <w:rPr>
          <w:sz w:val="24"/>
          <w:szCs w:val="24"/>
        </w:rPr>
      </w:r>
    </w:p>
    <w:p>
      <w:pPr>
        <w:jc w:val="both"/>
        <w:shd w:val="clear" w:color="auto" w:fill="ffffff" w:themeFill="background1"/>
        <w:tabs>
          <w:tab w:val="left" w:pos="15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- повышение уровня методического и педагогического мастерства учителей, тренеров, судей;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  <w:lang w:eastAsia="en-US"/>
        </w:rPr>
        <w:t xml:space="preserve">развитие и популяризация водного поло и мини водного поло в Санкт-Петербурге </w:t>
      </w:r>
      <w:r>
        <w:rPr>
          <w:sz w:val="24"/>
          <w:szCs w:val="24"/>
          <w:lang w:eastAsia="en-US"/>
        </w:rPr>
        <w:br/>
        <w:t xml:space="preserve">и в Российской Федерации.</w:t>
      </w:r>
      <w:r>
        <w:rPr>
          <w:sz w:val="24"/>
          <w:szCs w:val="24"/>
          <w:lang w:eastAsia="en-US"/>
        </w:rPr>
      </w:r>
    </w:p>
    <w:p>
      <w:pPr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Задачи Мероприятия:</w:t>
      </w:r>
      <w:r>
        <w:rPr>
          <w:sz w:val="24"/>
          <w:szCs w:val="24"/>
          <w:lang w:eastAsia="en-US"/>
        </w:rPr>
      </w:r>
    </w:p>
    <w:p>
      <w:pPr>
        <w:pStyle w:val="741"/>
        <w:ind w:firstLine="567"/>
        <w:jc w:val="both"/>
      </w:pPr>
      <w:r>
        <w:t xml:space="preserve">- увеличение числа детей, занимающихся водным поло;</w:t>
      </w:r>
      <w:r/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- улучшение материально-технической базы для занятий водным поло и мини водным поло. </w:t>
      </w:r>
      <w:r>
        <w:rPr>
          <w:color w:val="000000"/>
          <w:sz w:val="24"/>
          <w:szCs w:val="24"/>
        </w:rPr>
      </w:r>
    </w:p>
    <w:p>
      <w:pPr>
        <w:ind w:firstLine="706"/>
        <w:jc w:val="both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</w:t>
      </w:r>
      <w:r>
        <w:rPr>
          <w:sz w:val="24"/>
          <w:szCs w:val="24"/>
        </w:rPr>
        <w:t xml:space="preserve">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и спорте в Российской Федерации».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О</w:t>
      </w:r>
      <w:r>
        <w:rPr>
          <w:b/>
          <w:bCs/>
          <w:sz w:val="24"/>
          <w:szCs w:val="24"/>
        </w:rPr>
        <w:t xml:space="preserve">рганизаторы</w:t>
      </w:r>
      <w:r>
        <w:rPr>
          <w:b/>
          <w:bCs/>
          <w:sz w:val="24"/>
          <w:szCs w:val="24"/>
        </w:rPr>
        <w:t xml:space="preserve"> соревнований</w:t>
      </w:r>
      <w:r>
        <w:rPr>
          <w:b/>
          <w:sz w:val="24"/>
          <w:szCs w:val="24"/>
          <w:shd w:val="clear" w:color="auto" w:fill="ffffff"/>
        </w:rPr>
      </w:r>
    </w:p>
    <w:p>
      <w:pPr>
        <w:ind w:left="709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</w:r>
      <w:r>
        <w:rPr>
          <w:b/>
          <w:sz w:val="24"/>
          <w:szCs w:val="24"/>
          <w:shd w:val="clear" w:color="auto" w:fill="ffffff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руководство организацией и проведением Мероприятия осуществляют: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Комитет по физической культуре и спорту (далее – Комитет) и Школьная</w:t>
      </w:r>
      <w:r>
        <w:rPr>
          <w:color w:val="000000"/>
          <w:sz w:val="24"/>
          <w:szCs w:val="24"/>
        </w:rPr>
        <w:t xml:space="preserve"> любительская Л</w:t>
      </w:r>
      <w:r>
        <w:rPr>
          <w:color w:val="000000"/>
          <w:sz w:val="24"/>
          <w:szCs w:val="24"/>
        </w:rPr>
        <w:t xml:space="preserve">ига </w:t>
      </w:r>
      <w:r>
        <w:rPr>
          <w:color w:val="000000"/>
          <w:sz w:val="24"/>
          <w:szCs w:val="24"/>
        </w:rPr>
        <w:br/>
        <w:t xml:space="preserve">ВВС СПб.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Полномочия Комитета по организации и проведению Мероприятия в соответствии </w:t>
      </w:r>
      <w:r>
        <w:rPr>
          <w:color w:val="000000"/>
          <w:sz w:val="24"/>
          <w:szCs w:val="24"/>
        </w:rPr>
        <w:br/>
        <w:t xml:space="preserve">с государственным заданием на оказание государственных услуг (выполнение работ) </w:t>
      </w:r>
      <w:r>
        <w:rPr>
          <w:color w:val="000000"/>
          <w:sz w:val="24"/>
          <w:szCs w:val="24"/>
        </w:rPr>
        <w:br/>
        <w:t xml:space="preserve">на текущий календарный год осуществляются Санкт-Петербургским государственным автономным учреждением «Центр подготовки спортивных сборных команд Санкт-Петербурга» (далее – СПб ГАУ «Центр подготовки»).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Содействие в организации и проведении Мероприятия осуществляет: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Региональная физкультурно-спортивная общественная организация «Федерация водного поло» (далее – СПб РФС ОО ФВП);</w:t>
      </w:r>
      <w:r>
        <w:rPr>
          <w:color w:val="000000"/>
          <w:sz w:val="24"/>
          <w:szCs w:val="24"/>
        </w:rPr>
      </w:r>
    </w:p>
    <w:p>
      <w:pPr>
        <w:pStyle w:val="741"/>
        <w:ind w:firstLine="567"/>
        <w:jc w:val="both"/>
      </w:pPr>
      <w:r>
        <w:t xml:space="preserve">Непосредственное проведение соревнований осуществляет </w:t>
      </w:r>
      <w:r>
        <w:t xml:space="preserve">Главная судейская коллегия </w:t>
      </w:r>
      <w:r>
        <w:rPr>
          <w:i/>
        </w:rPr>
        <w:t xml:space="preserve">(</w:t>
      </w:r>
      <w:r>
        <w:rPr>
          <w:i/>
        </w:rPr>
        <w:t xml:space="preserve">далее</w:t>
      </w:r>
      <w:r>
        <w:rPr>
          <w:i/>
        </w:rPr>
        <w:t xml:space="preserve"> </w:t>
      </w:r>
      <w:r>
        <w:rPr>
          <w:i/>
        </w:rPr>
        <w:t xml:space="preserve">– </w:t>
      </w:r>
      <w:r>
        <w:rPr>
          <w:i/>
        </w:rPr>
        <w:t xml:space="preserve">ГСК</w:t>
      </w:r>
      <w:r>
        <w:rPr>
          <w:i/>
        </w:rPr>
        <w:t xml:space="preserve">)</w:t>
      </w:r>
      <w:r>
        <w:t xml:space="preserve">, </w:t>
      </w:r>
      <w:r>
        <w:t xml:space="preserve">утвержденная</w:t>
      </w:r>
      <w:r>
        <w:t xml:space="preserve"> </w:t>
      </w:r>
      <w:r>
        <w:t xml:space="preserve">ШЛЛ ВВС СПб.</w:t>
      </w:r>
      <w:r/>
    </w:p>
    <w:p>
      <w:pPr>
        <w:pStyle w:val="741"/>
        <w:ind w:firstLine="567"/>
        <w:jc w:val="both"/>
      </w:pPr>
      <w:r/>
      <w:r/>
    </w:p>
    <w:p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Обеспечение безопасности участников и зрителей,</w:t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медицинское обеспечение</w:t>
      </w:r>
      <w:r>
        <w:rPr>
          <w:b/>
          <w:bCs/>
          <w:sz w:val="24"/>
          <w:szCs w:val="24"/>
        </w:rPr>
      </w:r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left="35" w:right="-155" w:firstLine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Мероприятии осуществляется только при наличии договора (оригинал) </w:t>
      </w:r>
      <w:r>
        <w:rPr>
          <w:sz w:val="24"/>
          <w:szCs w:val="24"/>
        </w:rPr>
        <w:br/>
        <w:t xml:space="preserve">о страховании жизни и здоровья от несчастных случаев, который предоставляется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в комиссию по допуску в Мероприятии на каждого участника.</w:t>
      </w:r>
      <w:r>
        <w:rPr>
          <w:sz w:val="24"/>
          <w:szCs w:val="24"/>
        </w:rPr>
      </w:r>
    </w:p>
    <w:p>
      <w:pPr>
        <w:ind w:left="35" w:right="-155" w:firstLine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Страхование участников Мероприятия может производиться за счет бюджетных </w:t>
      </w:r>
      <w:r>
        <w:rPr>
          <w:sz w:val="24"/>
          <w:szCs w:val="24"/>
        </w:rPr>
        <w:br/>
        <w:t xml:space="preserve">и внебюджетных средств в соответствии с законодательством Российской Федерации </w:t>
      </w:r>
      <w:r>
        <w:rPr>
          <w:sz w:val="24"/>
          <w:szCs w:val="24"/>
        </w:rPr>
        <w:br/>
        <w:t xml:space="preserve">и Санкт-Петербурга. Ответственность за наличие страховых договоров у участников несут руководители участвующих организаций и представители команд-участниц.</w:t>
      </w:r>
      <w:r>
        <w:rPr>
          <w:sz w:val="24"/>
          <w:szCs w:val="24"/>
        </w:rPr>
      </w:r>
    </w:p>
    <w:p>
      <w:pPr>
        <w:ind w:left="35" w:right="-155" w:firstLine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обеспечение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sz w:val="24"/>
          <w:szCs w:val="24"/>
        </w:rPr>
        <w:br/>
        <w:t xml:space="preserve">и спортом (в том числе при подготовке и проведении физкультурных - мероприятий </w:t>
      </w:r>
      <w:r>
        <w:rPr>
          <w:sz w:val="24"/>
          <w:szCs w:val="24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в организациях и (или) выполнить нормативы испытаний (тестов) Всероссийского физкультурно-спортивного комплекса «Готов к труду и обо</w:t>
      </w:r>
      <w:r>
        <w:rPr>
          <w:sz w:val="24"/>
          <w:szCs w:val="24"/>
        </w:rPr>
        <w:t xml:space="preserve">роне» (ГТО)» и форм медицинских заключений о допуске </w:t>
      </w:r>
      <w:r>
        <w:rPr>
          <w:sz w:val="24"/>
          <w:szCs w:val="24"/>
        </w:rPr>
        <w:t xml:space="preserve">к участию физкультурных и спортивных меропр</w:t>
      </w:r>
      <w:r>
        <w:rPr>
          <w:sz w:val="24"/>
          <w:szCs w:val="24"/>
        </w:rPr>
        <w:t xml:space="preserve">иятиях», Регламентом по организации </w:t>
      </w:r>
      <w:r>
        <w:rPr>
          <w:sz w:val="24"/>
          <w:szCs w:val="24"/>
        </w:rPr>
        <w:t xml:space="preserve">и проведению официальных физкультурных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и спортивных мероприятий на территории Российской Федерации в условиях сохранения рисков распространения COVD-19, утвержденным Министерством спорта Российской </w:t>
      </w: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5" cy="9525"/>
                <wp:effectExtent l="0" t="0" r="0" b="0"/>
                <wp:docPr id="1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75pt;height:0.75pt;mso-wrap-distance-left:0.00pt;mso-wrap-distance-top:0.00pt;mso-wrap-distance-right:0.00pt;mso-wrap-distance-bottom:0.00pt;">
                <v:path textboxrect="0,0,0,0"/>
                <v:imagedata r:id="rId11" o:title=""/>
              </v:shape>
            </w:pict>
          </mc:Fallback>
        </mc:AlternateContent>
      </w:r>
      <w:r>
        <w:rPr>
          <w:sz w:val="24"/>
          <w:szCs w:val="24"/>
        </w:rPr>
        <w:t xml:space="preserve">Федерации и </w:t>
      </w:r>
      <w:r>
        <w:rPr>
          <w:sz w:val="24"/>
          <w:szCs w:val="24"/>
        </w:rPr>
        <w:t xml:space="preserve">Роспотребнадзором (в редакции от 19 августа 2020 года).</w:t>
      </w:r>
      <w:r>
        <w:rPr>
          <w:sz w:val="24"/>
          <w:szCs w:val="24"/>
        </w:rPr>
      </w:r>
    </w:p>
    <w:p>
      <w:pPr>
        <w:ind w:left="35" w:right="-155" w:firstLine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должен иметь действующий медицинский допуск для участия </w:t>
      </w:r>
      <w:r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 xml:space="preserve">Мероприятии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741"/>
        <w:ind w:firstLine="709"/>
        <w:jc w:val="both"/>
      </w:pPr>
      <w:r/>
      <w:r/>
    </w:p>
    <w:p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и сроки </w:t>
      </w:r>
      <w:r>
        <w:rPr>
          <w:b/>
          <w:bCs/>
          <w:sz w:val="24"/>
          <w:szCs w:val="24"/>
        </w:rPr>
        <w:t xml:space="preserve">проведения</w:t>
      </w:r>
      <w:r>
        <w:rPr>
          <w:b/>
          <w:bCs/>
          <w:sz w:val="24"/>
          <w:szCs w:val="24"/>
        </w:rPr>
      </w:r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741"/>
        <w:ind w:firstLine="567"/>
        <w:jc w:val="both"/>
      </w:pPr>
      <w:r>
        <w:t xml:space="preserve">Соревнования проводятся </w:t>
      </w:r>
      <w:r/>
    </w:p>
    <w:p>
      <w:pPr>
        <w:pStyle w:val="741"/>
        <w:ind w:firstLine="567"/>
        <w:jc w:val="both"/>
        <w:rPr>
          <w:color w:val="ff0000"/>
        </w:rPr>
      </w:pPr>
      <w:r>
        <w:t xml:space="preserve">Сроки проведения: </w:t>
      </w:r>
      <w:r>
        <w:t xml:space="preserve">февраль 2024 год</w:t>
      </w:r>
      <w:r>
        <w:rPr>
          <w:color w:val="ff0000"/>
        </w:rPr>
      </w:r>
    </w:p>
    <w:p>
      <w:pPr>
        <w:pStyle w:val="741"/>
        <w:ind w:firstLine="709"/>
        <w:jc w:val="both"/>
      </w:pPr>
      <w:r/>
      <w:r/>
    </w:p>
    <w:p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мероприятия</w:t>
      </w:r>
      <w:r>
        <w:rPr>
          <w:b/>
          <w:bCs/>
          <w:sz w:val="24"/>
          <w:szCs w:val="24"/>
        </w:rPr>
      </w:r>
    </w:p>
    <w:p>
      <w:pPr>
        <w:pStyle w:val="741"/>
        <w:ind w:firstLine="709"/>
        <w:jc w:val="both"/>
      </w:pPr>
      <w:r/>
      <w:r/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1 этапе команды путем жеребьевки делятся на 2 подгруппы </w:t>
      </w:r>
      <w:r>
        <w:rPr>
          <w:color w:val="000000" w:themeColor="text1"/>
          <w:sz w:val="24"/>
          <w:szCs w:val="24"/>
        </w:rPr>
        <w:t xml:space="preserve">«А» и «Б» </w:t>
      </w:r>
      <w:r>
        <w:rPr>
          <w:color w:val="000000" w:themeColor="text1"/>
          <w:sz w:val="24"/>
          <w:szCs w:val="24"/>
        </w:rPr>
        <w:t xml:space="preserve">и играют в группах по круговой системе. Места в группах определяются по наибольшему количеству набранных очков.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Продолжительность игр </w:t>
      </w:r>
      <w:r>
        <w:rPr>
          <w:color w:val="000000" w:themeColor="text1"/>
          <w:sz w:val="24"/>
          <w:szCs w:val="24"/>
        </w:rPr>
        <w:t xml:space="preserve">на</w:t>
      </w:r>
      <w:r>
        <w:rPr>
          <w:color w:val="000000" w:themeColor="text1"/>
          <w:sz w:val="24"/>
          <w:szCs w:val="24"/>
        </w:rPr>
        <w:t xml:space="preserve"> 1 этапе </w:t>
      </w:r>
      <w:r>
        <w:rPr>
          <w:color w:val="000000" w:themeColor="text1"/>
          <w:sz w:val="24"/>
          <w:szCs w:val="24"/>
        </w:rPr>
        <w:t xml:space="preserve">1</w:t>
      </w:r>
      <w:r>
        <w:rPr>
          <w:color w:val="000000" w:themeColor="text1"/>
          <w:sz w:val="24"/>
          <w:szCs w:val="24"/>
        </w:rPr>
        <w:t xml:space="preserve">6</w:t>
      </w:r>
      <w:r>
        <w:rPr>
          <w:color w:val="000000" w:themeColor="text1"/>
          <w:sz w:val="24"/>
          <w:szCs w:val="24"/>
        </w:rPr>
        <w:t xml:space="preserve"> </w:t>
      </w:r>
      <w:r>
        <w:rPr>
          <w:color w:val="000000" w:themeColor="text1"/>
          <w:sz w:val="24"/>
          <w:szCs w:val="24"/>
        </w:rPr>
        <w:t xml:space="preserve">минут (2 периода по </w:t>
      </w:r>
      <w:r>
        <w:rPr>
          <w:color w:val="000000" w:themeColor="text1"/>
          <w:sz w:val="24"/>
          <w:szCs w:val="24"/>
        </w:rPr>
        <w:t xml:space="preserve">8</w:t>
      </w:r>
      <w:r>
        <w:rPr>
          <w:color w:val="000000" w:themeColor="text1"/>
          <w:sz w:val="24"/>
          <w:szCs w:val="24"/>
        </w:rPr>
        <w:t xml:space="preserve"> минут</w:t>
      </w:r>
      <w:r>
        <w:rPr>
          <w:color w:val="000000" w:themeColor="text1"/>
          <w:sz w:val="24"/>
          <w:szCs w:val="24"/>
        </w:rPr>
        <w:t xml:space="preserve"> грязного времени</w:t>
      </w:r>
      <w:r>
        <w:rPr>
          <w:color w:val="000000" w:themeColor="text1"/>
          <w:sz w:val="24"/>
          <w:szCs w:val="24"/>
        </w:rPr>
        <w:t xml:space="preserve">).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2 этапе команды, занявшие 1 и 2 места в своих подгруппах играют полуфинальный этап ½.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3 этапе команды играют: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5-6 место: 3 А – 3Б (согласно местам, занятым в группах)</w:t>
      </w:r>
      <w:r>
        <w:rPr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3-4 место: проигравшие пары 1А-2Б, 2А-1Б</w:t>
      </w:r>
      <w:r>
        <w:rPr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1-2 место: победители пар 2А-1Б, 1А-2Б. Продолжительность игр на 3 этапе 24 минуты (4 периода по 6 минут грязного времени). 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Система проведения </w:t>
      </w:r>
      <w:r>
        <w:rPr>
          <w:color w:val="000000" w:themeColor="text1"/>
          <w:sz w:val="24"/>
          <w:szCs w:val="24"/>
        </w:rPr>
        <w:t xml:space="preserve">Мероприятия</w:t>
      </w:r>
      <w:r>
        <w:rPr>
          <w:color w:val="000000" w:themeColor="text1"/>
          <w:sz w:val="24"/>
          <w:szCs w:val="24"/>
        </w:rPr>
        <w:t xml:space="preserve"> может быть изменена по решению ГСК в зависимости от количества заявившихся команд.</w:t>
      </w:r>
      <w:r>
        <w:rPr>
          <w:color w:val="000000" w:themeColor="text1"/>
          <w:sz w:val="24"/>
          <w:szCs w:val="24"/>
        </w:rPr>
      </w:r>
    </w:p>
    <w:p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</w:r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соревнований:</w:t>
      </w:r>
      <w:r>
        <w:rPr>
          <w:b/>
          <w:sz w:val="24"/>
          <w:szCs w:val="24"/>
        </w:rPr>
      </w: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Феврал</w:t>
      </w:r>
      <w:r>
        <w:rPr>
          <w:b/>
          <w:sz w:val="24"/>
          <w:szCs w:val="24"/>
        </w:rPr>
        <w:t xml:space="preserve">ь</w:t>
      </w:r>
      <w:r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09.30 - мандатная комиссия;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10.00 - открытие Турнира;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10.15 - 1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00</w:t>
      </w:r>
      <w:r>
        <w:rPr>
          <w:sz w:val="24"/>
          <w:szCs w:val="24"/>
        </w:rPr>
        <w:t xml:space="preserve"> игры по кругу;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</w:t>
      </w:r>
      <w:r>
        <w:rPr>
          <w:sz w:val="24"/>
          <w:szCs w:val="24"/>
        </w:rPr>
        <w:t xml:space="preserve">00</w:t>
      </w:r>
      <w:r>
        <w:rPr>
          <w:sz w:val="24"/>
          <w:szCs w:val="24"/>
        </w:rPr>
        <w:t xml:space="preserve"> -1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45</w:t>
      </w:r>
      <w:r>
        <w:rPr>
          <w:sz w:val="24"/>
          <w:szCs w:val="24"/>
        </w:rPr>
        <w:t xml:space="preserve"> полуфинальный этап 1</w:t>
      </w:r>
      <w:r>
        <w:rPr>
          <w:sz w:val="24"/>
          <w:szCs w:val="24"/>
        </w:rPr>
        <w:t xml:space="preserve">/2;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45</w:t>
      </w:r>
      <w:r>
        <w:rPr>
          <w:sz w:val="24"/>
          <w:szCs w:val="24"/>
        </w:rPr>
        <w:t xml:space="preserve">-14.00 финальные игры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подведение итогов и награждение участников Турнира.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Участники мероприятия</w:t>
      </w: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741"/>
        <w:ind w:firstLine="567"/>
        <w:jc w:val="both"/>
      </w:pPr>
      <w:r>
        <w:t xml:space="preserve">К </w:t>
      </w:r>
      <w:r>
        <w:t xml:space="preserve">участию в Мероприятии</w:t>
      </w:r>
      <w:r>
        <w:t xml:space="preserve"> допускаются</w:t>
      </w:r>
      <w:r/>
    </w:p>
    <w:p>
      <w:pPr>
        <w:pStyle w:val="741"/>
        <w:ind w:firstLine="567"/>
        <w:jc w:val="both"/>
      </w:pPr>
      <w:r>
        <w:t xml:space="preserve">- </w:t>
      </w:r>
      <w:r>
        <w:t xml:space="preserve">команды</w:t>
      </w:r>
      <w:r>
        <w:t xml:space="preserve">, представляющие </w:t>
      </w:r>
      <w:r>
        <w:t xml:space="preserve">физкультурно-спортивные организации</w:t>
      </w:r>
      <w:r>
        <w:t xml:space="preserve"> </w:t>
      </w:r>
      <w:r>
        <w:t xml:space="preserve">Санкт-Петербурга</w:t>
      </w:r>
      <w:r>
        <w:t xml:space="preserve"> </w:t>
      </w:r>
      <w:r>
        <w:t xml:space="preserve">других</w:t>
      </w:r>
      <w:r>
        <w:t xml:space="preserve"> субъектов Росси</w:t>
      </w:r>
      <w:r>
        <w:t xml:space="preserve">йской Федерации и других стран</w:t>
      </w:r>
      <w:r>
        <w:t xml:space="preserve">;</w:t>
      </w:r>
      <w:r/>
    </w:p>
    <w:p>
      <w:pPr>
        <w:pStyle w:val="741"/>
        <w:ind w:firstLine="567"/>
        <w:jc w:val="both"/>
      </w:pPr>
      <w:r>
        <w:t xml:space="preserve">- </w:t>
      </w:r>
      <w:r>
        <w:rPr>
          <w:color w:val="000000"/>
        </w:rPr>
        <w:t xml:space="preserve">команды обучающихся в общеобразовательных организациях</w:t>
      </w:r>
      <w:r>
        <w:t xml:space="preserve">, реализующих программы основного общего, среднего (полного) общего, среднего специального образования неспортивной направленности</w:t>
      </w:r>
      <w:r>
        <w:t xml:space="preserve">;</w:t>
      </w:r>
      <w:r/>
    </w:p>
    <w:p>
      <w:pPr>
        <w:pStyle w:val="741"/>
        <w:ind w:firstLine="567"/>
        <w:jc w:val="both"/>
      </w:pPr>
      <w:r>
        <w:t xml:space="preserve">-</w:t>
      </w:r>
      <w:r>
        <w:t xml:space="preserve"> юноши и девушки 2012-2013 г.р.</w:t>
      </w:r>
      <w:r>
        <w:t xml:space="preserve"> без особых требований </w:t>
      </w:r>
      <w:r>
        <w:br/>
      </w:r>
      <w:r>
        <w:t xml:space="preserve">к спортивной квалификации.</w:t>
      </w:r>
      <w:r>
        <w:t xml:space="preserve"> В соревнованиях могут принимать участие команды </w:t>
      </w:r>
      <w:r>
        <w:br/>
      </w:r>
      <w:r>
        <w:t xml:space="preserve">со смешанным составом.</w:t>
      </w:r>
      <w:r/>
    </w:p>
    <w:p>
      <w:pPr>
        <w:pStyle w:val="741"/>
        <w:ind w:firstLine="567"/>
        <w:jc w:val="both"/>
      </w:pPr>
      <w:r>
        <w:t xml:space="preserve">Состав </w:t>
      </w:r>
      <w:r>
        <w:t xml:space="preserve">команды</w:t>
      </w:r>
      <w:r>
        <w:t xml:space="preserve"> </w:t>
      </w:r>
      <w:r>
        <w:t xml:space="preserve">17</w:t>
      </w:r>
      <w:r>
        <w:t xml:space="preserve"> </w:t>
      </w:r>
      <w:r>
        <w:t xml:space="preserve">человек</w:t>
      </w:r>
      <w:r>
        <w:t xml:space="preserve"> </w:t>
      </w:r>
      <w:r>
        <w:t xml:space="preserve">(</w:t>
      </w:r>
      <w:r>
        <w:t xml:space="preserve">1</w:t>
      </w:r>
      <w:r>
        <w:t xml:space="preserve">5</w:t>
      </w:r>
      <w:r>
        <w:t xml:space="preserve"> </w:t>
      </w:r>
      <w:r>
        <w:t xml:space="preserve">с</w:t>
      </w:r>
      <w:r>
        <w:t xml:space="preserve">портсменов, 1 </w:t>
      </w:r>
      <w:r>
        <w:t xml:space="preserve">тренер </w:t>
      </w:r>
      <w:r>
        <w:t xml:space="preserve">и </w:t>
      </w:r>
      <w:r>
        <w:t xml:space="preserve">1 представитель)</w:t>
      </w:r>
      <w:r>
        <w:t xml:space="preserve">.  </w:t>
      </w:r>
      <w:r/>
    </w:p>
    <w:p>
      <w:pPr>
        <w:pStyle w:val="741"/>
        <w:ind w:firstLine="709"/>
        <w:jc w:val="both"/>
      </w:pPr>
      <w:r/>
      <w:r/>
    </w:p>
    <w:p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</w:t>
      </w:r>
      <w:r>
        <w:rPr>
          <w:b/>
          <w:bCs/>
          <w:sz w:val="24"/>
          <w:szCs w:val="24"/>
        </w:rPr>
        <w:t xml:space="preserve">аявки на участие</w:t>
      </w:r>
      <w:r>
        <w:rPr>
          <w:b/>
          <w:bCs/>
          <w:sz w:val="24"/>
          <w:szCs w:val="24"/>
        </w:rPr>
      </w:r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741"/>
        <w:ind w:firstLine="567"/>
        <w:jc w:val="both"/>
        <w:rPr>
          <w:color w:val="4f81bd"/>
        </w:rPr>
      </w:pPr>
      <w:r>
        <w:t xml:space="preserve">Предварительные заявки на участие в соревнованиях подаются</w:t>
      </w:r>
      <w:r>
        <w:t xml:space="preserve"> через форму на </w:t>
      </w:r>
      <w:r>
        <w:t xml:space="preserve">официальном ресурсе </w:t>
      </w:r>
      <w:r>
        <w:rPr>
          <w:lang w:val="en-US"/>
        </w:rPr>
        <w:t xml:space="preserve">vk</w:t>
      </w:r>
      <w:r>
        <w:t xml:space="preserve">.</w:t>
      </w:r>
      <w:r>
        <w:rPr>
          <w:lang w:val="en-US"/>
        </w:rPr>
        <w:t xml:space="preserve">com</w:t>
      </w:r>
      <w:r>
        <w:t xml:space="preserve">/</w:t>
      </w:r>
      <w:r>
        <w:rPr>
          <w:lang w:val="en-US"/>
        </w:rPr>
        <w:t xml:space="preserve">waterliga</w:t>
      </w:r>
      <w:r>
        <w:t xml:space="preserve"> или </w:t>
      </w:r>
      <w:r>
        <w:t xml:space="preserve">других </w:t>
      </w:r>
      <w:r>
        <w:t xml:space="preserve">официальных </w:t>
      </w:r>
      <w:r>
        <w:t xml:space="preserve">интернет-источниках</w:t>
      </w:r>
      <w:r>
        <w:t xml:space="preserve">.</w:t>
      </w:r>
      <w:r>
        <w:rPr>
          <w:color w:val="4f81bd"/>
        </w:rPr>
      </w:r>
    </w:p>
    <w:p>
      <w:pPr>
        <w:pStyle w:val="741"/>
        <w:ind w:firstLine="567"/>
        <w:jc w:val="both"/>
      </w:pPr>
      <w:r>
        <w:t xml:space="preserve">На мандатной комиссии, проходящей</w:t>
      </w:r>
      <w:r>
        <w:t xml:space="preserve"> </w:t>
      </w:r>
      <w:r>
        <w:t xml:space="preserve">февраля 202</w:t>
      </w:r>
      <w:r>
        <w:t xml:space="preserve">4</w:t>
      </w:r>
      <w:r>
        <w:t xml:space="preserve"> по адресу: </w:t>
      </w:r>
      <w:r>
        <w:t xml:space="preserve">Санкт-Петербург, ул..</w:t>
      </w:r>
      <w:r>
        <w:t xml:space="preserve">, представитель команды должен предоставить итоговую именную заявку, заверенную руководителем организации, с действующим медицинским допуском на каждого спортсмена</w:t>
      </w:r>
      <w:r>
        <w:t xml:space="preserve">.</w:t>
      </w:r>
      <w:r/>
    </w:p>
    <w:p>
      <w:pPr>
        <w:pStyle w:val="741"/>
        <w:ind w:firstLine="567"/>
        <w:jc w:val="both"/>
      </w:pPr>
      <w:r>
        <w:t xml:space="preserve">К заявке прилагаются следующие</w:t>
      </w:r>
      <w:r>
        <w:t xml:space="preserve"> документы на каждого участника</w:t>
      </w:r>
      <w:r>
        <w:t xml:space="preserve">:</w:t>
      </w:r>
      <w:r/>
    </w:p>
    <w:p>
      <w:pPr>
        <w:pStyle w:val="741"/>
        <w:ind w:firstLine="567"/>
        <w:jc w:val="both"/>
      </w:pPr>
      <w:r>
        <w:t xml:space="preserve">- д</w:t>
      </w:r>
      <w:r>
        <w:t xml:space="preserve">оговор</w:t>
      </w:r>
      <w:r>
        <w:t xml:space="preserve"> </w:t>
      </w:r>
      <w:r>
        <w:t xml:space="preserve">(оригинал) о страховании жизни и</w:t>
      </w:r>
      <w:r>
        <w:t xml:space="preserve"> здоровья от несчастных случаев;</w:t>
      </w:r>
      <w:r/>
    </w:p>
    <w:p>
      <w:pPr>
        <w:pStyle w:val="741"/>
        <w:ind w:firstLine="567"/>
        <w:jc w:val="both"/>
      </w:pPr>
      <w:r>
        <w:t xml:space="preserve">- </w:t>
      </w:r>
      <w:r>
        <w:t xml:space="preserve">свидетельство о рождении</w:t>
      </w:r>
      <w:r>
        <w:t xml:space="preserve">;</w:t>
      </w:r>
      <w:r/>
    </w:p>
    <w:p>
      <w:pPr>
        <w:pStyle w:val="741"/>
        <w:ind w:firstLine="567"/>
        <w:jc w:val="both"/>
      </w:pPr>
      <w:r>
        <w:t xml:space="preserve">- медицинская справка с допуском на </w:t>
      </w:r>
      <w:r>
        <w:t xml:space="preserve">мероприятие на каждого участника</w:t>
      </w:r>
      <w:r>
        <w:t xml:space="preserve">.</w:t>
      </w:r>
      <w:r/>
    </w:p>
    <w:p>
      <w:pPr>
        <w:pStyle w:val="741"/>
        <w:ind w:firstLine="567"/>
        <w:jc w:val="both"/>
      </w:pPr>
      <w:r>
        <w:t xml:space="preserve">Один и тот же </w:t>
      </w:r>
      <w:r>
        <w:t xml:space="preserve">участник </w:t>
      </w:r>
      <w:r>
        <w:t xml:space="preserve">может быть заявлен только за одну команду.</w:t>
      </w:r>
      <w:r/>
    </w:p>
    <w:p>
      <w:pPr>
        <w:pStyle w:val="741"/>
        <w:ind w:firstLine="567"/>
        <w:jc w:val="both"/>
      </w:pPr>
      <w:r>
        <w:t xml:space="preserve">Представители и тренеры команд несут персональную ответственность за заполнение заявки, подлинность документов, представленных в мандатную комиссию.</w:t>
      </w:r>
      <w:r/>
    </w:p>
    <w:p>
      <w:pPr>
        <w:pStyle w:val="741"/>
        <w:ind w:firstLine="567"/>
        <w:jc w:val="both"/>
      </w:pPr>
      <w:r/>
      <w:r/>
    </w:p>
    <w:p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Подведение итогов соревнований</w:t>
      </w:r>
      <w:r>
        <w:rPr>
          <w:b/>
          <w:bCs/>
          <w:sz w:val="24"/>
          <w:szCs w:val="24"/>
        </w:rPr>
      </w:r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</w:t>
      </w:r>
      <w:r>
        <w:rPr>
          <w:sz w:val="24"/>
          <w:szCs w:val="24"/>
        </w:rPr>
        <w:t xml:space="preserve">мероприятия</w:t>
      </w:r>
      <w:r>
        <w:rPr>
          <w:sz w:val="24"/>
          <w:szCs w:val="24"/>
        </w:rPr>
        <w:t xml:space="preserve"> определяются по наибольшей сумме набранных очков.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победу начисляется два очка, за ничью - одно очко, за поражение - ноль очков.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В случае равенства очков у двух или более команд, преимущество команды определяется: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разнице мячей между этими командами;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забитым мячам во всех играх;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соотношению забитых и пропущенных мячей.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неявку команды на игру ей засчитывается поражение со счетом 0:5.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повторную неявку команда снимается с соревнований.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Игрок, удаленный до конца игры без права замены дисквалифицируется, как минимум, на одну игру, если его проступок не повлечет за собой более серьезного наказания после рассмотрения ГСК.</w:t>
      </w:r>
      <w:r>
        <w:rPr>
          <w:sz w:val="24"/>
          <w:szCs w:val="24"/>
        </w:rPr>
      </w:r>
    </w:p>
    <w:p>
      <w:pPr>
        <w:ind w:firstLine="709"/>
        <w:jc w:val="both"/>
        <w:rPr>
          <w:rStyle w:val="740"/>
          <w:rFonts w:eastAsia="Andale Sans UI"/>
          <w:sz w:val="24"/>
          <w:szCs w:val="24"/>
        </w:rPr>
      </w:pPr>
      <w:r>
        <w:rPr>
          <w:sz w:val="24"/>
          <w:szCs w:val="24"/>
        </w:rPr>
        <w:t xml:space="preserve">Главный тренер команды, получивший красную карточку, пропускает следующую игру.</w:t>
      </w:r>
      <w:r>
        <w:rPr>
          <w:rStyle w:val="740"/>
          <w:rFonts w:eastAsia="Andale Sans UI"/>
          <w:sz w:val="24"/>
          <w:szCs w:val="24"/>
        </w:rPr>
      </w:r>
    </w:p>
    <w:p>
      <w:pPr>
        <w:ind w:firstLine="709"/>
        <w:jc w:val="both"/>
        <w:widowControl/>
        <w:rPr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Порядок подачи и рассмотрения протестов - согласно </w:t>
      </w:r>
      <w:r>
        <w:rPr>
          <w:sz w:val="24"/>
          <w:szCs w:val="24"/>
        </w:rPr>
        <w:t xml:space="preserve">правилам вида спорта «водное поло», утвержденным приказом Министерства спорта Российской Федерации от 27 декабря 2018 года № 1094 с изменениями, внесенными приказом Минспорта России от 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 августа 2020 года № 60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right="15" w:firstLine="709"/>
        <w:jc w:val="both"/>
        <w:tabs>
          <w:tab w:val="left" w:pos="525" w:leader="none"/>
          <w:tab w:val="left" w:pos="55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Отчёт о проведении соревнований и протоколы соревнований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ШЛЛ ВВС </w:t>
      </w:r>
      <w:r>
        <w:rPr>
          <w:sz w:val="24"/>
          <w:szCs w:val="24"/>
        </w:rPr>
        <w:t xml:space="preserve">СПб </w:t>
      </w:r>
      <w:r>
        <w:rPr>
          <w:iCs/>
          <w:sz w:val="24"/>
          <w:szCs w:val="24"/>
        </w:rPr>
        <w:t xml:space="preserve">представляет</w:t>
      </w:r>
      <w:r>
        <w:rPr>
          <w:sz w:val="24"/>
          <w:szCs w:val="24"/>
        </w:rPr>
        <w:t xml:space="preserve"> на бумажном и электронном носителях в Комитет и СПб ГАУ «Центр подготовки» в течение </w:t>
      </w:r>
      <w:r>
        <w:rPr>
          <w:b/>
          <w:sz w:val="24"/>
          <w:szCs w:val="24"/>
        </w:rPr>
        <w:t xml:space="preserve">3 дней</w:t>
      </w:r>
      <w:r>
        <w:rPr>
          <w:sz w:val="24"/>
          <w:szCs w:val="24"/>
        </w:rPr>
        <w:t xml:space="preserve"> после окончания соревнований.</w:t>
      </w:r>
      <w:r>
        <w:rPr>
          <w:sz w:val="24"/>
          <w:szCs w:val="24"/>
        </w:rPr>
      </w:r>
    </w:p>
    <w:p>
      <w:pPr>
        <w:pStyle w:val="741"/>
        <w:ind w:firstLine="709"/>
        <w:jc w:val="both"/>
      </w:pPr>
      <w:r/>
      <w:r/>
    </w:p>
    <w:p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Награждение</w:t>
      </w:r>
      <w:r>
        <w:rPr>
          <w:b/>
          <w:bCs/>
          <w:sz w:val="24"/>
          <w:szCs w:val="24"/>
        </w:rPr>
      </w:r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741"/>
        <w:ind w:firstLine="709"/>
        <w:jc w:val="both"/>
      </w:pPr>
      <w:r>
        <w:t xml:space="preserve">Команды - победите</w:t>
      </w:r>
      <w:r>
        <w:t xml:space="preserve">ли</w:t>
      </w:r>
      <w:r>
        <w:t xml:space="preserve"> и призеры соревнований награждаются </w:t>
      </w:r>
      <w:r>
        <w:t xml:space="preserve">кубками и </w:t>
      </w:r>
      <w:r>
        <w:t xml:space="preserve">дипломами Комитета. </w:t>
      </w:r>
      <w:r/>
    </w:p>
    <w:p>
      <w:pPr>
        <w:pStyle w:val="741"/>
        <w:ind w:firstLine="709"/>
        <w:jc w:val="both"/>
      </w:pPr>
      <w:r>
        <w:t xml:space="preserve">Игроки команд - победителей и призеров соревнований награждаются грамотами </w:t>
      </w:r>
      <w:r>
        <w:br/>
      </w:r>
      <w:r>
        <w:t xml:space="preserve">и медалями Комитета.</w:t>
      </w:r>
      <w:r/>
    </w:p>
    <w:p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Каждый участник соревнований получает сувенирный подарок с логотипом Соревнований и сертификат участника.</w:t>
      </w:r>
      <w:r>
        <w:rPr>
          <w:bCs/>
          <w:sz w:val="24"/>
          <w:szCs w:val="24"/>
        </w:rPr>
      </w:r>
    </w:p>
    <w:p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Дополнительно могут устанавливаться призы спонсорами и другими организациями.</w:t>
      </w:r>
      <w:r>
        <w:rPr>
          <w:bCs/>
          <w:sz w:val="24"/>
          <w:szCs w:val="24"/>
        </w:rPr>
      </w:r>
    </w:p>
    <w:p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Финансирование</w:t>
      </w: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организации и проведению соревнований: оплата работы судей, обслуживающего персонала (рабочие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врач, медсестра) предоставление наградной атрибутики (медали, </w:t>
      </w:r>
      <w:r>
        <w:rPr>
          <w:sz w:val="24"/>
          <w:szCs w:val="24"/>
        </w:rPr>
        <w:t xml:space="preserve">грамоты, </w:t>
      </w:r>
      <w:r>
        <w:rPr>
          <w:sz w:val="24"/>
          <w:szCs w:val="24"/>
        </w:rPr>
        <w:t xml:space="preserve">дипломы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 счет средств субсидии СПб ГАУ "Центр подготовки" на финансовое обеспечение выполнения государственного задания на оказание государственных услуг (выполнение работ).</w:t>
      </w:r>
      <w:r>
        <w:rPr>
          <w:sz w:val="24"/>
          <w:szCs w:val="24"/>
        </w:rPr>
      </w:r>
    </w:p>
    <w:p>
      <w:pPr>
        <w:pStyle w:val="737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Остальные расходы по организации и проведению соревнований осуществляются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НКО Ассоциации содействия развитию школьного водного спорта «Школьная любительская лига водных видов спорта Санкт-Петербурга»,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за счет привлеченных средств, в том числе партнеров и спонсоров.   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737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обеспечением проезда к месту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обратно, питанием, страхованием осуществляются за счет командирующих организаций и/или за счет собственных средств участников.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center"/>
        <w:spacing w:before="2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</w:t>
      </w:r>
      <w:r>
        <w:rPr>
          <w:b/>
          <w:color w:val="000000"/>
          <w:sz w:val="24"/>
          <w:szCs w:val="24"/>
        </w:rPr>
        <w:t xml:space="preserve">Прочие условия</w:t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использования при проведении Мероприятия музыкального сопровождения (публичного исполнения фонограмм), организатор обязан заключить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  <w:r>
        <w:rPr>
          <w:color w:val="000000"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спортивно-массовой работе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Комитета по физической культуре и спорту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Е.Ю.Грук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спортивно-массовой работе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СПб ГАУ «Центр </w:t>
      </w:r>
      <w:r>
        <w:rPr>
          <w:sz w:val="24"/>
          <w:szCs w:val="24"/>
        </w:rPr>
        <w:t xml:space="preserve">подготовки»  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Е.Е.Полякова</w:t>
      </w: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</w:r>
    </w:p>
    <w:p>
      <w:pPr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Специалист отдела по спортивно-массовой работе </w:t>
      </w:r>
      <w:r>
        <w:rPr>
          <w:sz w:val="24"/>
          <w:szCs w:val="24"/>
        </w:rPr>
      </w:r>
    </w:p>
    <w:p>
      <w:pPr>
        <w:tabs>
          <w:tab w:val="left" w:pos="567" w:leader="none"/>
        </w:tabs>
        <w:rPr>
          <w:sz w:val="28"/>
          <w:szCs w:val="28"/>
        </w:rPr>
      </w:pPr>
      <w:r>
        <w:rPr>
          <w:sz w:val="24"/>
          <w:szCs w:val="24"/>
        </w:rPr>
        <w:t xml:space="preserve">СПб ГАУ «Центр подготовки»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sz w:val="28"/>
          <w:szCs w:val="28"/>
        </w:rPr>
      </w:r>
    </w:p>
    <w:sectPr>
      <w:headerReference w:type="even" r:id="rId9"/>
      <w:footnotePr/>
      <w:endnotePr/>
      <w:type w:val="nextPage"/>
      <w:pgSz w:w="11906" w:h="16838" w:orient="portrait"/>
      <w:pgMar w:top="993" w:right="850" w:bottom="426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5040102010807070707"/>
  </w:font>
  <w:font w:name="Calibri">
    <w:panose1 w:val="020F0502020204030204"/>
  </w:font>
  <w:font w:name="Wingdings">
    <w:panose1 w:val="05010000000000000000"/>
  </w:font>
  <w:font w:name="Symbol">
    <w:panose1 w:val="05010000000000000000"/>
  </w:font>
  <w:font w:name="Andale Sans UI">
    <w:panose1 w:val="05040102010807070707"/>
  </w:font>
  <w:font w:name="Verdana">
    <w:panose1 w:val="020B0603030804020204"/>
  </w:font>
  <w:font w:name="Antiqua">
    <w:panose1 w:val="05040102010807070707"/>
  </w:font>
  <w:font w:name="Courier New">
    <w:panose1 w:val="02070409020205020404"/>
  </w:font>
  <w:font w:name="Tahoma">
    <w:panose1 w:val="020B0506030602030204"/>
  </w:font>
  <w:font w:name="Petersburg C">
    <w:panose1 w:val="05040102010807070707"/>
  </w:font>
  <w:font w:name="Times New Roman">
    <w:panose1 w:val="02020603050405020304"/>
  </w:font>
  <w:font w:name="NTTierce">
    <w:panose1 w:val="05040102010807070707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rPr>
        <w:rStyle w:val="712"/>
      </w:rPr>
      <w:framePr w:wrap="around" w:vAnchor="text" w:hAnchor="margin" w:xAlign="center" w:y="1"/>
    </w:pPr>
    <w:r>
      <w:rPr>
        <w:rStyle w:val="712"/>
      </w:rPr>
      <w:fldChar w:fldCharType="begin"/>
    </w:r>
    <w:r>
      <w:rPr>
        <w:rStyle w:val="712"/>
      </w:rPr>
      <w:instrText xml:space="preserve">PAGE  </w:instrText>
    </w:r>
    <w:r>
      <w:rPr>
        <w:rStyle w:val="712"/>
      </w:rPr>
      <w:fldChar w:fldCharType="end"/>
    </w:r>
    <w:r>
      <w:rPr>
        <w:rStyle w:val="712"/>
      </w:rPr>
    </w:r>
  </w:p>
  <w:p>
    <w:pPr>
      <w:pStyle w:val="7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6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hint="default" w:ascii="Times New Roman" w:hAnsi="Times New Roman" w:eastAsia="Andale Sans U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pStyle w:val="716"/>
      <w:isLgl w:val="false"/>
      <w:suff w:val="tab"/>
      <w:lvlText w:val=""/>
      <w:lvlJc w:val="left"/>
      <w:pPr>
        <w:ind w:left="1004" w:hanging="360"/>
        <w:tabs>
          <w:tab w:val="num" w:pos="1004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  <w:tabs>
          <w:tab w:val="num" w:pos="1724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  <w:tabs>
          <w:tab w:val="num" w:pos="2444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  <w:tabs>
          <w:tab w:val="num" w:pos="3164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  <w:tabs>
          <w:tab w:val="num" w:pos="3884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  <w:tabs>
          <w:tab w:val="num" w:pos="4604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  <w:tabs>
          <w:tab w:val="num" w:pos="5324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  <w:tabs>
          <w:tab w:val="num" w:pos="6044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  <w:tabs>
          <w:tab w:val="num" w:pos="6764" w:leader="none"/>
        </w:tabs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pStyle w:val="732"/>
      <w:isLgl w:val="false"/>
      <w:suff w:val="tab"/>
      <w:lvlText w:val="%1."/>
      <w:lvlJc w:val="left"/>
      <w:pPr>
        <w:ind w:left="680" w:hanging="567"/>
        <w:tabs>
          <w:tab w:val="num" w:pos="680" w:leader="none"/>
        </w:tabs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833" w:hanging="720"/>
        <w:tabs>
          <w:tab w:val="num" w:pos="833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833" w:hanging="720"/>
        <w:tabs>
          <w:tab w:val="num" w:pos="833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93" w:hanging="1080"/>
        <w:tabs>
          <w:tab w:val="num" w:pos="1193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193" w:hanging="1080"/>
        <w:tabs>
          <w:tab w:val="num" w:pos="1193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53" w:hanging="1440"/>
        <w:tabs>
          <w:tab w:val="num" w:pos="1553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553" w:hanging="1440"/>
        <w:tabs>
          <w:tab w:val="num" w:pos="1553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13" w:hanging="1800"/>
        <w:tabs>
          <w:tab w:val="num" w:pos="1913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913" w:hanging="1800"/>
        <w:tabs>
          <w:tab w:val="num" w:pos="1913" w:leader="none"/>
        </w:tabs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pStyle w:val="714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pStyle w:val="715"/>
      <w:isLgl w:val="false"/>
      <w:suff w:val="tab"/>
      <w:lvlText w:val="%1.%2"/>
      <w:lvlJc w:val="left"/>
      <w:pPr>
        <w:ind w:left="1836" w:hanging="576"/>
        <w:tabs>
          <w:tab w:val="num" w:pos="1836" w:leader="none"/>
        </w:tabs>
      </w:pPr>
      <w:rPr>
        <w:rFonts w:hint="default"/>
      </w:rPr>
    </w:lvl>
    <w:lvl w:ilvl="2">
      <w:start w:val="1"/>
      <w:numFmt w:val="decimal"/>
      <w:pStyle w:val="717"/>
      <w:isLgl w:val="false"/>
      <w:suff w:val="tab"/>
      <w:lvlText w:val="%1.%2.%3"/>
      <w:lvlJc w:val="left"/>
      <w:pPr>
        <w:ind w:left="1080" w:firstLine="0"/>
        <w:tabs>
          <w:tab w:val="num" w:pos="130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2"/>
    <w:link w:val="68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2"/>
    <w:link w:val="68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2"/>
    <w:link w:val="68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2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6"/>
    <w:next w:val="68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2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2"/>
    <w:link w:val="691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6"/>
    <w:next w:val="68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2"/>
    <w:link w:val="34"/>
    <w:uiPriority w:val="10"/>
    <w:rPr>
      <w:sz w:val="48"/>
      <w:szCs w:val="48"/>
    </w:rPr>
  </w:style>
  <w:style w:type="paragraph" w:styleId="36">
    <w:name w:val="Subtitle"/>
    <w:basedOn w:val="686"/>
    <w:next w:val="68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2"/>
    <w:link w:val="36"/>
    <w:uiPriority w:val="11"/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2"/>
    <w:link w:val="711"/>
    <w:uiPriority w:val="99"/>
  </w:style>
  <w:style w:type="character" w:styleId="45">
    <w:name w:val="Footer Char"/>
    <w:basedOn w:val="692"/>
    <w:link w:val="719"/>
    <w:uiPriority w:val="99"/>
  </w:style>
  <w:style w:type="paragraph" w:styleId="46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9"/>
    <w:uiPriority w:val="99"/>
  </w:style>
  <w:style w:type="table" w:styleId="49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04"/>
    <w:uiPriority w:val="99"/>
    <w:rPr>
      <w:sz w:val="18"/>
    </w:rPr>
  </w:style>
  <w:style w:type="character" w:styleId="177">
    <w:name w:val="footnote reference"/>
    <w:basedOn w:val="692"/>
    <w:uiPriority w:val="99"/>
    <w:unhideWhenUsed/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2"/>
    <w:uiPriority w:val="99"/>
    <w:semiHidden/>
    <w:unhideWhenUsed/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  <w:pPr>
      <w:widowControl w:val="off"/>
    </w:pPr>
  </w:style>
  <w:style w:type="paragraph" w:styleId="687">
    <w:name w:val="Heading 1"/>
    <w:basedOn w:val="686"/>
    <w:next w:val="686"/>
    <w:qFormat/>
    <w:pPr>
      <w:ind w:right="-108"/>
      <w:keepNext/>
      <w:outlineLvl w:val="0"/>
    </w:pPr>
    <w:rPr>
      <w:b/>
      <w:bCs/>
      <w:szCs w:val="16"/>
    </w:rPr>
  </w:style>
  <w:style w:type="paragraph" w:styleId="688">
    <w:name w:val="Heading 2"/>
    <w:basedOn w:val="686"/>
    <w:next w:val="686"/>
    <w:qFormat/>
    <w:pPr>
      <w:jc w:val="center"/>
      <w:keepNext/>
      <w:pageBreakBefore/>
      <w:outlineLvl w:val="1"/>
    </w:pPr>
    <w:rPr>
      <w:b/>
      <w:sz w:val="22"/>
      <w:szCs w:val="22"/>
    </w:rPr>
  </w:style>
  <w:style w:type="paragraph" w:styleId="689">
    <w:name w:val="Heading 3"/>
    <w:basedOn w:val="686"/>
    <w:next w:val="686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90">
    <w:name w:val="Heading 4"/>
    <w:basedOn w:val="686"/>
    <w:next w:val="686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91">
    <w:name w:val="Heading 6"/>
    <w:basedOn w:val="686"/>
    <w:next w:val="686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.......+15"/>
    <w:basedOn w:val="696"/>
    <w:next w:val="696"/>
    <w:rPr>
      <w:rFonts w:cs="Times New Roman"/>
      <w:color w:val="auto"/>
    </w:rPr>
  </w:style>
  <w:style w:type="paragraph" w:styleId="696" w:customStyle="1">
    <w:name w:val="Default"/>
    <w:rPr>
      <w:rFonts w:ascii="Petersburg C" w:hAnsi="Petersburg C" w:cs="Petersburg C"/>
      <w:color w:val="000000"/>
      <w:sz w:val="24"/>
      <w:szCs w:val="24"/>
    </w:rPr>
  </w:style>
  <w:style w:type="paragraph" w:styleId="697">
    <w:name w:val="Balloon Text"/>
    <w:basedOn w:val="686"/>
    <w:semiHidden/>
    <w:rPr>
      <w:rFonts w:ascii="Tahoma" w:hAnsi="Tahoma" w:cs="Tahoma"/>
      <w:sz w:val="16"/>
      <w:szCs w:val="16"/>
    </w:rPr>
  </w:style>
  <w:style w:type="paragraph" w:styleId="698">
    <w:name w:val="Body Text 2"/>
    <w:basedOn w:val="686"/>
    <w:pPr>
      <w:widowControl/>
    </w:pPr>
    <w:rPr>
      <w:color w:val="000000"/>
      <w:sz w:val="28"/>
    </w:rPr>
  </w:style>
  <w:style w:type="paragraph" w:styleId="699" w:customStyle="1">
    <w:name w:val="Название1"/>
    <w:basedOn w:val="686"/>
    <w:qFormat/>
    <w:pPr>
      <w:jc w:val="center"/>
      <w:widowControl/>
    </w:pPr>
    <w:rPr>
      <w:sz w:val="36"/>
    </w:rPr>
  </w:style>
  <w:style w:type="paragraph" w:styleId="700" w:customStyle="1">
    <w:name w:val="ConsNormal"/>
    <w:pPr>
      <w:ind w:firstLine="720"/>
    </w:pPr>
    <w:rPr>
      <w:rFonts w:ascii="Arial" w:hAnsi="Arial"/>
    </w:rPr>
  </w:style>
  <w:style w:type="character" w:styleId="701">
    <w:name w:val="Hyperlink"/>
    <w:rPr>
      <w:color w:val="0000ff"/>
      <w:u w:val="single"/>
    </w:rPr>
  </w:style>
  <w:style w:type="paragraph" w:styleId="702">
    <w:name w:val="Body Text"/>
    <w:basedOn w:val="686"/>
    <w:link w:val="703"/>
    <w:pPr>
      <w:spacing w:after="120"/>
    </w:pPr>
  </w:style>
  <w:style w:type="character" w:styleId="703" w:customStyle="1">
    <w:name w:val="Основной текст Знак"/>
    <w:link w:val="702"/>
    <w:rPr>
      <w:lang w:val="ru-RU" w:eastAsia="ru-RU" w:bidi="ar-SA"/>
    </w:rPr>
  </w:style>
  <w:style w:type="paragraph" w:styleId="704">
    <w:name w:val="footnote text"/>
    <w:basedOn w:val="686"/>
    <w:semiHidden/>
    <w:pPr>
      <w:widowControl/>
    </w:pPr>
  </w:style>
  <w:style w:type="paragraph" w:styleId="705">
    <w:name w:val="Plain Text"/>
    <w:basedOn w:val="686"/>
    <w:pPr>
      <w:widowControl/>
    </w:pPr>
    <w:rPr>
      <w:rFonts w:ascii="Courier New" w:hAnsi="Courier New"/>
    </w:rPr>
  </w:style>
  <w:style w:type="table" w:styleId="706">
    <w:name w:val="Table Grid"/>
    <w:basedOn w:val="69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7" w:customStyle="1">
    <w:name w:val="Заголовок 1 Знак2 Знак"/>
    <w:rPr>
      <w:rFonts w:ascii="Arial" w:hAnsi="Arial" w:cs="Arial"/>
      <w:b/>
      <w:sz w:val="28"/>
      <w:szCs w:val="18"/>
      <w:lang w:val="ru-RU" w:eastAsia="ru-RU" w:bidi="ar-SA"/>
    </w:rPr>
  </w:style>
  <w:style w:type="paragraph" w:styleId="708" w:customStyle="1">
    <w:name w:val="Стиль"/>
    <w:pPr>
      <w:widowControl w:val="off"/>
    </w:pPr>
    <w:rPr>
      <w:rFonts w:ascii="Arial" w:hAnsi="Arial" w:cs="Arial"/>
      <w:sz w:val="24"/>
      <w:szCs w:val="24"/>
    </w:rPr>
  </w:style>
  <w:style w:type="paragraph" w:styleId="709" w:customStyle="1">
    <w:name w:val="ConsPlusNormal"/>
    <w:pPr>
      <w:ind w:firstLine="720"/>
    </w:pPr>
    <w:rPr>
      <w:rFonts w:ascii="Arial" w:hAnsi="Arial"/>
    </w:rPr>
  </w:style>
  <w:style w:type="paragraph" w:styleId="710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711">
    <w:name w:val="Header"/>
    <w:basedOn w:val="686"/>
    <w:pPr>
      <w:tabs>
        <w:tab w:val="center" w:pos="4677" w:leader="none"/>
        <w:tab w:val="right" w:pos="9355" w:leader="none"/>
      </w:tabs>
    </w:pPr>
    <w:rPr>
      <w:rFonts w:ascii="Arial" w:hAnsi="Arial" w:cs="Arial"/>
      <w:sz w:val="18"/>
      <w:szCs w:val="18"/>
    </w:rPr>
  </w:style>
  <w:style w:type="character" w:styleId="712">
    <w:name w:val="page number"/>
    <w:basedOn w:val="692"/>
  </w:style>
  <w:style w:type="paragraph" w:styleId="713">
    <w:name w:val="Body Text Indent"/>
    <w:basedOn w:val="686"/>
    <w:pPr>
      <w:ind w:left="283"/>
      <w:spacing w:after="120"/>
    </w:pPr>
    <w:rPr>
      <w:rFonts w:ascii="Arial" w:hAnsi="Arial" w:cs="Arial"/>
      <w:sz w:val="18"/>
      <w:szCs w:val="18"/>
    </w:rPr>
  </w:style>
  <w:style w:type="paragraph" w:styleId="714" w:customStyle="1">
    <w:name w:val="Стиль1"/>
    <w:basedOn w:val="686"/>
    <w:pPr>
      <w:numPr>
        <w:ilvl w:val="0"/>
        <w:numId w:val="2"/>
      </w:numPr>
      <w:keepLines/>
      <w:keepNext/>
      <w:spacing w:after="60"/>
      <w:suppressLineNumbers/>
    </w:pPr>
    <w:rPr>
      <w:b/>
      <w:sz w:val="28"/>
      <w:szCs w:val="24"/>
    </w:rPr>
  </w:style>
  <w:style w:type="paragraph" w:styleId="715" w:customStyle="1">
    <w:name w:val="Стиль2"/>
    <w:basedOn w:val="716"/>
    <w:pPr>
      <w:numPr>
        <w:ilvl w:val="1"/>
        <w:numId w:val="2"/>
      </w:numPr>
      <w:jc w:val="both"/>
      <w:keepLines/>
      <w:keepNext/>
      <w:spacing w:after="60"/>
      <w:suppressLineNumbers/>
    </w:pPr>
    <w:rPr>
      <w:rFonts w:ascii="Times New Roman" w:hAnsi="Times New Roman" w:cs="Times New Roman"/>
      <w:b/>
      <w:sz w:val="24"/>
      <w:szCs w:val="20"/>
    </w:rPr>
  </w:style>
  <w:style w:type="paragraph" w:styleId="716">
    <w:name w:val="List Number 2"/>
    <w:basedOn w:val="686"/>
    <w:pPr>
      <w:numPr>
        <w:ilvl w:val="0"/>
        <w:numId w:val="1"/>
      </w:numPr>
    </w:pPr>
    <w:rPr>
      <w:rFonts w:ascii="Arial" w:hAnsi="Arial" w:cs="Arial"/>
      <w:sz w:val="18"/>
      <w:szCs w:val="18"/>
    </w:rPr>
  </w:style>
  <w:style w:type="paragraph" w:styleId="717" w:customStyle="1">
    <w:name w:val="Стиль3"/>
    <w:basedOn w:val="718"/>
    <w:pPr>
      <w:numPr>
        <w:ilvl w:val="2"/>
        <w:numId w:val="2"/>
      </w:numPr>
      <w:jc w:val="both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718">
    <w:name w:val="Body Text Indent 2"/>
    <w:basedOn w:val="686"/>
    <w:pPr>
      <w:ind w:left="283"/>
      <w:spacing w:after="120" w:line="480" w:lineRule="auto"/>
    </w:pPr>
    <w:rPr>
      <w:rFonts w:ascii="Arial" w:hAnsi="Arial" w:cs="Arial"/>
      <w:sz w:val="18"/>
      <w:szCs w:val="18"/>
    </w:rPr>
  </w:style>
  <w:style w:type="paragraph" w:styleId="719">
    <w:name w:val="Footer"/>
    <w:basedOn w:val="686"/>
    <w:pPr>
      <w:tabs>
        <w:tab w:val="center" w:pos="4677" w:leader="none"/>
        <w:tab w:val="right" w:pos="9355" w:leader="none"/>
      </w:tabs>
    </w:pPr>
    <w:rPr>
      <w:rFonts w:ascii="Arial" w:hAnsi="Arial" w:cs="Arial"/>
      <w:sz w:val="18"/>
      <w:szCs w:val="18"/>
    </w:rPr>
  </w:style>
  <w:style w:type="paragraph" w:styleId="720">
    <w:name w:val="Block Text"/>
    <w:basedOn w:val="686"/>
    <w:pPr>
      <w:ind w:left="567" w:right="594" w:firstLine="284"/>
      <w:jc w:val="both"/>
      <w:widowControl/>
    </w:pPr>
    <w:rPr>
      <w:sz w:val="28"/>
    </w:rPr>
  </w:style>
  <w:style w:type="paragraph" w:styleId="721" w:customStyle="1">
    <w:name w:val="Heading"/>
    <w:rPr>
      <w:rFonts w:ascii="Arial" w:hAnsi="Arial"/>
      <w:b/>
      <w:sz w:val="22"/>
    </w:rPr>
  </w:style>
  <w:style w:type="paragraph" w:styleId="722" w:customStyle="1">
    <w:name w:val="ConsCell"/>
    <w:pPr>
      <w:ind w:right="19772"/>
      <w:widowControl w:val="off"/>
    </w:pPr>
    <w:rPr>
      <w:rFonts w:ascii="Arial" w:hAnsi="Arial" w:cs="Arial"/>
      <w:sz w:val="22"/>
      <w:szCs w:val="22"/>
    </w:rPr>
  </w:style>
  <w:style w:type="paragraph" w:styleId="723">
    <w:name w:val="Body Text 3"/>
    <w:basedOn w:val="686"/>
    <w:pPr>
      <w:spacing w:after="120"/>
    </w:pPr>
    <w:rPr>
      <w:rFonts w:ascii="Arial" w:hAnsi="Arial" w:cs="Arial"/>
      <w:sz w:val="16"/>
      <w:szCs w:val="16"/>
    </w:rPr>
  </w:style>
  <w:style w:type="paragraph" w:styleId="724">
    <w:name w:val="Date"/>
    <w:basedOn w:val="686"/>
    <w:next w:val="686"/>
    <w:pPr>
      <w:jc w:val="both"/>
      <w:spacing w:after="60"/>
      <w:widowControl/>
    </w:pPr>
    <w:rPr>
      <w:sz w:val="24"/>
    </w:rPr>
  </w:style>
  <w:style w:type="paragraph" w:styleId="725" w:customStyle="1">
    <w:name w:val="ConsPlusNonformat"/>
    <w:rPr>
      <w:rFonts w:ascii="Courier New" w:hAnsi="Courier New" w:cs="Courier New"/>
    </w:rPr>
  </w:style>
  <w:style w:type="paragraph" w:styleId="726" w:customStyle="1">
    <w:name w:val="ConsPlusCell"/>
    <w:rPr>
      <w:rFonts w:ascii="Arial" w:hAnsi="Arial" w:cs="Arial"/>
    </w:rPr>
  </w:style>
  <w:style w:type="paragraph" w:styleId="727" w:customStyle="1">
    <w:name w:val=".......+2"/>
    <w:basedOn w:val="696"/>
    <w:next w:val="696"/>
    <w:rPr>
      <w:rFonts w:ascii="Times New Roman" w:hAnsi="Times New Roman" w:cs="Times New Roman"/>
      <w:color w:val="auto"/>
    </w:rPr>
  </w:style>
  <w:style w:type="paragraph" w:styleId="728" w:customStyle="1">
    <w:name w:val="........ ..... 2"/>
    <w:basedOn w:val="696"/>
    <w:next w:val="696"/>
    <w:rPr>
      <w:rFonts w:ascii="Times New Roman" w:hAnsi="Times New Roman" w:cs="Times New Roman"/>
      <w:color w:val="auto"/>
    </w:rPr>
  </w:style>
  <w:style w:type="paragraph" w:styleId="729" w:customStyle="1">
    <w:name w:val="Основной текст с отступом 31"/>
    <w:basedOn w:val="686"/>
    <w:pPr>
      <w:ind w:firstLine="709"/>
      <w:jc w:val="both"/>
      <w:widowControl/>
    </w:pPr>
    <w:rPr>
      <w:sz w:val="24"/>
    </w:rPr>
  </w:style>
  <w:style w:type="paragraph" w:styleId="730">
    <w:name w:val="Body Text Indent 3"/>
    <w:basedOn w:val="686"/>
    <w:pPr>
      <w:ind w:left="283"/>
      <w:spacing w:after="120"/>
    </w:pPr>
    <w:rPr>
      <w:rFonts w:ascii="Arial" w:hAnsi="Arial" w:cs="Arial"/>
      <w:sz w:val="16"/>
      <w:szCs w:val="16"/>
    </w:rPr>
  </w:style>
  <w:style w:type="paragraph" w:styleId="731" w:customStyle="1">
    <w:name w:val="Основной текст 21"/>
    <w:basedOn w:val="686"/>
    <w:pPr>
      <w:ind w:right="-1" w:firstLine="567"/>
      <w:jc w:val="both"/>
      <w:widowControl/>
    </w:pPr>
    <w:rPr>
      <w:rFonts w:ascii="Antiqua" w:hAnsi="Antiqua"/>
      <w:sz w:val="24"/>
    </w:rPr>
  </w:style>
  <w:style w:type="paragraph" w:styleId="732" w:customStyle="1">
    <w:name w:val="заголовок 2"/>
    <w:basedOn w:val="686"/>
    <w:next w:val="686"/>
    <w:pPr>
      <w:numPr>
        <w:ilvl w:val="0"/>
        <w:numId w:val="3"/>
      </w:numPr>
      <w:jc w:val="both"/>
      <w:keepNext/>
      <w:spacing w:before="120"/>
    </w:pPr>
    <w:rPr>
      <w:b/>
      <w:sz w:val="24"/>
    </w:rPr>
  </w:style>
  <w:style w:type="paragraph" w:styleId="733" w:customStyle="1">
    <w:name w:val="FR1"/>
    <w:pPr>
      <w:widowControl w:val="off"/>
    </w:pPr>
    <w:rPr>
      <w:rFonts w:ascii="Arial" w:hAnsi="Arial" w:cs="Arial"/>
      <w:sz w:val="18"/>
      <w:szCs w:val="18"/>
    </w:rPr>
  </w:style>
  <w:style w:type="paragraph" w:styleId="734" w:customStyle="1">
    <w:name w:val="Char Знак Знак"/>
    <w:basedOn w:val="686"/>
    <w:pPr>
      <w:jc w:val="right"/>
      <w:spacing w:after="160" w:line="240" w:lineRule="exact"/>
    </w:pPr>
    <w:rPr>
      <w:lang w:val="en-GB" w:eastAsia="en-US"/>
    </w:rPr>
  </w:style>
  <w:style w:type="paragraph" w:styleId="735" w:customStyle="1">
    <w:name w:val="Знак Знак Знак Знак"/>
    <w:basedOn w:val="686"/>
    <w:pPr>
      <w:jc w:val="right"/>
      <w:spacing w:after="160" w:line="240" w:lineRule="exact"/>
    </w:pPr>
    <w:rPr>
      <w:lang w:val="en-GB" w:eastAsia="en-US"/>
    </w:rPr>
  </w:style>
  <w:style w:type="character" w:styleId="736">
    <w:name w:val="Strong"/>
    <w:qFormat/>
    <w:rPr>
      <w:b/>
      <w:bCs/>
    </w:rPr>
  </w:style>
  <w:style w:type="paragraph" w:styleId="737">
    <w:name w:val="Normal (Web)"/>
    <w:basedOn w:val="686"/>
    <w:uiPriority w:val="99"/>
    <w:pPr>
      <w:spacing w:before="100" w:beforeAutospacing="1" w:after="100" w:afterAutospacing="1"/>
      <w:widowControl/>
    </w:pPr>
    <w:rPr>
      <w:rFonts w:ascii="Tahoma" w:hAnsi="Tahoma" w:cs="Tahoma"/>
      <w:color w:val="b3b3b3"/>
      <w:sz w:val="17"/>
      <w:szCs w:val="17"/>
    </w:rPr>
  </w:style>
  <w:style w:type="paragraph" w:styleId="738" w:customStyle="1">
    <w:name w:val="tex3"/>
    <w:basedOn w:val="686"/>
    <w:pPr>
      <w:spacing w:before="100" w:beforeAutospacing="1" w:after="100" w:afterAutospacing="1"/>
      <w:widowControl/>
    </w:pPr>
    <w:rPr>
      <w:rFonts w:ascii="Verdana" w:hAnsi="Verdana"/>
      <w:color w:val="333333"/>
      <w:sz w:val="14"/>
      <w:szCs w:val="14"/>
    </w:rPr>
  </w:style>
  <w:style w:type="paragraph" w:styleId="739">
    <w:name w:val="List Paragraph"/>
    <w:basedOn w:val="686"/>
    <w:qFormat/>
    <w:pPr>
      <w:contextualSpacing/>
      <w:ind w:left="720"/>
    </w:pPr>
    <w:rPr>
      <w:rFonts w:ascii="Arial" w:hAnsi="Arial" w:cs="Arial"/>
      <w:sz w:val="18"/>
      <w:szCs w:val="18"/>
    </w:rPr>
  </w:style>
  <w:style w:type="character" w:styleId="740" w:customStyle="1">
    <w:name w:val="Основной текст1"/>
    <w:rPr>
      <w:rFonts w:ascii="Times New Roman" w:hAnsi="Times New Roman" w:eastAsia="Times New Roman" w:cs="Times New Roman"/>
      <w:shd w:val="clear" w:color="auto" w:fill="ffffff"/>
    </w:rPr>
  </w:style>
  <w:style w:type="paragraph" w:styleId="741" w:customStyle="1">
    <w:name w:val="Содержимое таблицы"/>
    <w:basedOn w:val="686"/>
    <w:pPr>
      <w:suppressLineNumbers/>
    </w:pPr>
    <w:rPr>
      <w:rFonts w:eastAsia="Andale Sans UI"/>
      <w:sz w:val="24"/>
      <w:szCs w:val="24"/>
    </w:rPr>
  </w:style>
  <w:style w:type="paragraph" w:styleId="742" w:customStyle="1">
    <w:name w:val="Noeeu1"/>
    <w:basedOn w:val="686"/>
    <w:pPr>
      <w:widowControl/>
    </w:pPr>
    <w:rPr>
      <w:rFonts w:ascii="NTTierce" w:hAnsi="NTTierce"/>
      <w:sz w:val="28"/>
    </w:rPr>
  </w:style>
  <w:style w:type="character" w:styleId="743">
    <w:name w:val="annotation reference"/>
    <w:rPr>
      <w:sz w:val="16"/>
      <w:szCs w:val="16"/>
    </w:rPr>
  </w:style>
  <w:style w:type="paragraph" w:styleId="744">
    <w:name w:val="annotation text"/>
    <w:basedOn w:val="686"/>
    <w:link w:val="745"/>
  </w:style>
  <w:style w:type="character" w:styleId="745" w:customStyle="1">
    <w:name w:val="Текст примечания Знак"/>
    <w:basedOn w:val="692"/>
    <w:link w:val="744"/>
  </w:style>
  <w:style w:type="paragraph" w:styleId="746">
    <w:name w:val="annotation subject"/>
    <w:basedOn w:val="744"/>
    <w:next w:val="744"/>
    <w:link w:val="747"/>
    <w:rPr>
      <w:b/>
      <w:bCs/>
    </w:rPr>
  </w:style>
  <w:style w:type="character" w:styleId="747" w:customStyle="1">
    <w:name w:val="Тема примечания Знак"/>
    <w:link w:val="746"/>
    <w:rPr>
      <w:b/>
      <w:bCs/>
    </w:rPr>
  </w:style>
  <w:style w:type="character" w:styleId="748">
    <w:name w:val="Unresolved Mention"/>
    <w:basedOn w:val="69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48BC-6F73-4580-A8DC-292286C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Panacee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Администратор</dc:creator>
  <cp:keywords/>
  <cp:lastModifiedBy>Алена Аксенова</cp:lastModifiedBy>
  <cp:revision>3</cp:revision>
  <dcterms:created xsi:type="dcterms:W3CDTF">2023-10-20T12:24:00Z</dcterms:created>
  <dcterms:modified xsi:type="dcterms:W3CDTF">2023-10-20T16:18:24Z</dcterms:modified>
</cp:coreProperties>
</file>